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86R5199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521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charging instrument in the prosecution of the offense of resisting arrest.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 Code of Criminal Procedure, is amended by adding Article 21.151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21.151.</w:t>
      </w:r>
      <w:r>
        <w:rPr>
          <w:u w:val="single"/>
        </w:rPr>
        <w:t xml:space="preserve"> </w:t>
      </w:r>
      <w:r>
        <w:rPr>
          <w:u w:val="single"/>
        </w:rPr>
        <w:t xml:space="preserve"> </w:t>
      </w:r>
      <w:r>
        <w:rPr>
          <w:u w:val="single"/>
        </w:rPr>
        <w:t xml:space="preserve">RESISTING ARREST.  The complaint, information, or indictment in the prosecution of a criminal case in which a person is alleged to have resisted arrest under Section 38.03, Penal Code, must state the underlying offense for which the person was resisting arrest.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criminal case in which the complaint, information, or indictment is presented to the court on or after the effective date of this Act. A criminal case in which the complaint, information, or indictment was presented to the court before the effective date of this Act is governed by the law in effect on the date the complaint, information, or indictment was presented,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