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86R3350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transcript notation requirements for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DISCIPLINARY NOTATIONS REGARDING SEX OFFENSES REQUIRED ON STUDENT TRANSCRIPTS.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 of higher education" has the meaning assigned by Section 61.003.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"Sex offense" means a sex offense that an institution of higher education is required to report under the Jeanne Clery Disclosure of Campus Security Policy and Campus Crime Statistics Act (20 U.S.C. Section 1092(f)).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institution of higher education determines, in accordance with the institution's disciplinary procedures, that a student has violated the institution's code of conduct by committing a sex offense, the institution shall include on the student's transcript a disciplinary notation that states: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the student was determined by the institution to have violated the institution's code of conduct by committing a sex offense;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student was suspended or expelled from the institution as a result of the determination.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withdraws from an institution of higher education pending disciplinary charges alleging that the student violated the institution's code of conduct by committing a sex offense, the institution shall include on the student's transcript a disciplinary notation stating that fact.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Higher Education Coordinating Board shall adopt rules as necessary to implement this section, including rules establishing a process for a student to appeal for the removal of a disciplinary notation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the rules required by Section 51.9364,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