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or</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as effective September 1, 2020,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 as added by Section 3, Chapter 410 (S.B. 5), Acts of the 85th Legislature, Regular Session, 2017;</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