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86R5239 MEW-D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528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including students enrolled in open-enrollment charter schools in the determination of a district's weighted average daily attendance for purposes of complying with equalized wealth level requirements.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41, Education Code, is amended by adding Section 41.0032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41.0032.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INCLUSION OF STUDENTS ATTENDING OPEN-ENROLLMENT CHARTER SCHOOLS IN DETERMINING WEIGHTED AVERAGE DAILY ATTENDANCE.  Notwithstanding Section 41.001(3), a student residing in the boundaries of a school district who is attending an open-enrollment charter school is included in calculating the district's weighted average daily attendance.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