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86R3353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Miller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retention by hospitals and physicians of medical records of a sexual assault victim.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241.103, Health and Safety Code,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hospital may not destroy a medical record that the hospital knows relates to the sexual assault of a patient until the earlier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15th anniversary of the date the record was created;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on which the applicable statute of limitations expires.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153.003,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153.003.</w:t>
      </w:r>
      <w:r xml:space="preserve">
        <w:t> </w:t>
      </w:r>
      <w:r xml:space="preserve">
        <w:t> </w:t>
      </w:r>
      <w:r>
        <w:t xml:space="preserve">RULES REGARDING MAINTENANCE OF PATIENT RECORDS.  </w:t>
      </w:r>
      <w:r>
        <w:rPr>
          <w:u w:val="single"/>
        </w:rPr>
        <w:t xml:space="preserve">(a)</w:t>
      </w:r>
      <w:r>
        <w:t xml:space="preserve">  The board by rule shall establish the period for which patient records must be maintained.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rules adopted under this section must prohibit a physician from destroying a medical record that the physician knows relates to the sexual assault of a patient until the earlier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15th anniversary of the date the record was created;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date on which the applicable statute of limitations expires.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Medical Board shall adopt rules necessary to comply with Section 153.003, Occupations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