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possession of a firearm by persons who are subject to certain judicial determinations;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46.04, Penal Code, is amended by adding Subsections (b-1) and (h)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commits an offense if the person possesses a firearm and at the time of the offense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ordered by a court to receive inpatient mental health services under Chapter 574,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acquitted in a criminal case by reason of insanity or lack of mental responsibility, regardless of whether the person was ordered by a court to receive inpatient treatment or residential care under Chapter 46C,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determined to be a person with an intellectual disability and has been committed by a court for long-term placement in a residential care facility under Chapter 593,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an incapacitated adult for whom a court has appointed a guardian of the person under Title 3, Estates Code, based on a determination that the person lacks the mental capacity to manage the person's affairs;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been determined to be incompetent to stand trial under Chapter 46B, Code of Criminal Procedure.</w:t>
      </w:r>
    </w:p>
    <w:p w:rsidR="003F3435" w:rsidRDefault="0032493E">
      <w:pPr>
        <w:spacing w:line="480" w:lineRule="auto"/>
        <w:ind w:firstLine="720"/>
        <w:jc w:val="both"/>
      </w:pPr>
      <w:r>
        <w:t xml:space="preserve">(e)</w:t>
      </w:r>
      <w:r xml:space="preserve">
        <w:t> </w:t>
      </w:r>
      <w:r xml:space="preserve">
        <w:t> </w:t>
      </w:r>
      <w:r>
        <w:t xml:space="preserve">An offense under </w:t>
      </w:r>
      <w:r>
        <w:rPr>
          <w:u w:val="single"/>
        </w:rPr>
        <w:t xml:space="preserve">this section is a Class A misdemeanor, except that an offense under</w:t>
      </w:r>
      <w:r>
        <w:t xml:space="preserve"> Subsection (a) is a felony of the third degree.  [</w:t>
      </w:r>
      <w:r>
        <w:rPr>
          <w:strike/>
        </w:rPr>
        <w:t xml:space="preserve">An offense under Subsection (b) or (c) is a Class A misdemeanor.</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defense to prosecution under Subsection (b-1) that at the time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the subject of a judicial order or finding that the person is no longer an incapacitated adult or is entitled to relief from disabilities under Section 574.088,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obtained notice of relief from disabilities under 18 U.S.C. Section 925.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