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reporting certain information through the Public Education Information Management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finds that children who are deaf or hard of hearing are often at risk for language delay or deprivation. Research indicates that there is limited success in addressing these issues after the optimal period for language acquisition. It is critical that the language acquisition of children who are deaf or hard of hearing is closely monitored from birth through age eight to enable the use of timely interventions that support age-appropriate language skills. Therefore, the purpose of this section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(b)</w:t>
      </w:r>
      <w:r xml:space="preserve">
        <w:t> </w:t>
      </w:r>
      <w:r xml:space="preserve">
        <w:t> </w:t>
      </w:r>
      <w:r>
        <w:t xml:space="preserve">Nothing in this section shall operate to override the parental consent provisions set forth in 34 C.F.R. Section 300.300.</w:t>
      </w:r>
    </w:p>
    <w:p w:rsidR="003F3435" w:rsidRDefault="0032493E">
      <w:pPr>
        <w:spacing w:line="480" w:lineRule="auto"/>
        <w:ind w:firstLine="720"/>
        <w:jc w:val="both"/>
      </w:pPr>
      <w:r>
        <w:t xml:space="preserve">(c)</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use existing collected data and data collected and transferred from the Department of State Health Services and the Health and Human Services Commission, as agreed upon in the memorandum of understanding, for the report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42.006, Education Code, is amended by adding Subsection (a-6) to read as follows: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 by rule shall require each school district and open-enrollment charter school to report through the Public Education Information Management System information disaggregated by campus and grade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for whom the district initiates a truancy prevention measure under Section 25.0915(a-4);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parents of students against whom an attendance officer or other appropriate school official has filed a complaint under Section 25.093.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29.316(d), Education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29.316(c), Education Code, as added by this Act, the agency, the division, and the center jointly shall prepare and post on the agency's, division's, and center's respective Internet websites the initial report required under that subsection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and the Health and Human Services Commission are required to implement Section 29.316, Education Code, as added by this Act, only if the legislature appropriates money specifically for that purpose. If the legislature does not appropriate money specifically for that purpose, the agency and commission may, but are not required to, implement Section 29.316, Education Code, as added by this Act, using other appropriations available for the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commissioner of education shall adopt rules required by Section 42.006(a-6),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548 was passed by the House on April 16, 2019, by the following vote:</w:t>
      </w:r>
      <w:r xml:space="preserve">
        <w:t> </w:t>
      </w:r>
      <w:r xml:space="preserve">
        <w:t> </w:t>
      </w:r>
      <w:r>
        <w:t xml:space="preserve">Yeas 137, Nays 0, 1 present, not voting; and that the House concurred in Senate amendments to H.B. No. 548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548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