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86R20937 SOS-D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Canales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548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548: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Dutton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548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reporting certain truancy information through the Public Education Information Management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42.006, Education Code, is amended by adding Subsection (a-6)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by rule shall require each school district and open-enrollment charter school to report through the Public Education Information Management System information disaggregated by campus and grade regarding: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number of children who are required to attend school under Section 25.085 and fail to attend school without excuse for 10 or more days or parts of days within a six-month period in the same school year;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number of students for whom the district initiates a truancy prevention measure under Section 25.0915(a-4);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number of parents of students against whom an attendance officer or other appropriate school official has filed a complaint under Section 25.093.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January 1, 2020, the commissioner of education shall adopt rules required by Section 42.006(a-6), Education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548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