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86R3647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reporting certain truancy information through the Public Education Information Management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42.006, Education Code, is amended by adding Subsection (a-6)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by rule shall require each school district and open-enrollment charter school to report through the Public Education Information Management System information disaggregated by campus and grade regarding: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children who are required to attend school under Section 25.085 and fail to enroll;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children who are required to attend school under Section 25.085 and fail to attend school without excuse for 10 or more days or parts of days within a six-month period in the same school year;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students for whom the district initiates a truancy prevention measure under Section 25.0915(a-4);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parents of students against whom an attendance officer or other appropriate school official has filed a complaint under Section 25.093.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2020, the commissioner of education shall adopt rules required by Section 42.006(a-6), Education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