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objection to the judge assigned in a criminal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 party to a civil </w:t>
      </w:r>
      <w:r>
        <w:rPr>
          <w:u w:val="single"/>
        </w:rPr>
        <w:t xml:space="preserve">or criminal</w:t>
      </w:r>
      <w:r>
        <w:t xml:space="preserve"> case files a timely objection to the assignment, the judge shall not hear the case.  Except as provided by Subsection (d), each party to the case is only entitled to one objection under this section for that case.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right to object to the assignment of a judge assigned under Chapter 74, Government Code, on or after the effective date of this Act.  An objection to the assignment of a judge assigned under Chapter 74, Government Code, before the effective date of this Act is governed by the law in effect on the date of assignment,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