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86R1049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Canales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552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voter registration application forms in high schools.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13.046, Election Code, is amended by adding Subsections (c-1) and (i) and amending Subsection (h)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high school shall always make available registration application forms to students and employees of the school.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The secretary of state shall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consult with the Texas Education Agency regarding the number of registration application forms to provide to each high school;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to each high school registration application forms in the number determined from the consultation under Subdivision (1);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 xml:space="preserve">
        <w:t> </w:t>
      </w:r>
      <w:r xml:space="preserve">
        <w:t> </w:t>
      </w:r>
      <w:r>
        <w:t xml:space="preserve">prescribe any additional procedures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registration application form provided or made available under this section must be in the form of the officially prescribed application form for registration by mail under Section 13.121.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