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notice regarding summer weekend possession of a child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153.316, after receiving notice from the managing conservator under Subsection (b)(3) of this section designating the summer weekend during which the managing conservator is to have possession of the child, the possessory conservator, not later than the 15th day before the Friday that begins that designated weekend, must give the managing conservator written notice of the location at which the managing conservator is to pick up and return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153.312(c), Family Code, as added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553 was passed by the House on April 17,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553 was passed by the Senate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