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86R881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temporary orders during the pendency of an appeal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109.001(b),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temporary order under this section enjoining a party from molesting or disturbing the peace of the child or another party: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be rendered without: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issuance of a bond between the </w:t>
      </w:r>
      <w:r>
        <w:rPr>
          <w:u w:val="single"/>
        </w:rPr>
        <w:t xml:space="preserve">parties</w:t>
      </w:r>
      <w:r>
        <w:t xml:space="preserve"> [</w:t>
      </w:r>
      <w:r>
        <w:rPr>
          <w:strike/>
        </w:rPr>
        <w:t xml:space="preserve">spouses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affidavit or a verified pleading stating specific facts showing that immediate and irreparable injury, loss, or damage will result;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define the injury or state why the injury is irreparable;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 an order setting the suit for trial on the merits with respect to the ultimate relief sought.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change in law made by this Act applies only to a temporary order rendered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 of this section, the change in law made by this Act applies to a temporary order rendered by a court of competent jurisdiction on or after September 1, 2017, but before the effective date of this Act.  The legislature ratifies such an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