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protective order by default.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85.006(a),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court may render a protective order that is binding on a respondent who does not attend a hearing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received service of the application and notice of the hearing</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proof of service was filed with the court at least 48 hours before the time set for the hearing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85.006(a), Family Code, as amended by this Act, applies only to an application for a protective order that is filed on or after the effective date of this Act.  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