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written agreements incident to divorce or annulment.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7.006(b), Family Code, is amended to read as follows:</w:t>
      </w:r>
    </w:p>
    <w:p w:rsidR="003F3435" w:rsidRDefault="0032493E">
      <w:pPr>
        <w:spacing w:line="480" w:lineRule="auto"/>
        <w:ind w:firstLine="720"/>
        <w:jc w:val="both"/>
      </w:pPr>
      <w:r>
        <w:t xml:space="preserve">(b)</w:t>
      </w:r>
      <w:r xml:space="preserve">
        <w:t> </w:t>
      </w:r>
      <w:r xml:space="preserve">
        <w:t> </w:t>
      </w:r>
      <w:r>
        <w:t xml:space="preserve">If the court finds that the terms of the written agreement in a divorce or </w:t>
      </w:r>
      <w:r>
        <w:rPr>
          <w:u w:val="single"/>
        </w:rPr>
        <w:t xml:space="preserve">an</w:t>
      </w:r>
      <w:r>
        <w:t xml:space="preserve"> annulment are just and right, those terms are binding on the court.  If the court approves the agreement, the court may set forth the agreement in full or incorporate the agreement by reference in the final decree.  </w:t>
      </w:r>
      <w:r>
        <w:rPr>
          <w:u w:val="single"/>
        </w:rPr>
        <w:t xml:space="preserve">If the court incorporates the agreement by reference in the final decree, the agreement is not required to be filed with the court or the court clerk.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7.006(b), Family Code, as amended by this Act, applies to an agreement incorporated by reference in a final decree of divorce or annulment regardless of whether the decree is signed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559 was passed by the House on April 9, 2019, by the following vote:</w:t>
      </w:r>
      <w:r xml:space="preserve">
        <w:t> </w:t>
      </w:r>
      <w:r xml:space="preserve">
        <w:t> </w:t>
      </w:r>
      <w:r>
        <w:t xml:space="preserve">Yeas 148,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559 was passed by the Senate on May 10,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