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86R4286 CJC-F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"heavy equipment" for purposes of the ad valorem taxation of certain dealer's heavy equipment inventory.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23.1241(a)(6), Tax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"Heavy equipment" means self-propelled, self-powered, or pull-type equipment, including farm equipment or a diesel engine, that weighs at least 1,500 pounds and is intended to be used for agricultural, construction, industrial, maritime, mining, or forestry uses.  The term does not include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motor vehicle [</w:t>
      </w:r>
      <w:r>
        <w:rPr>
          <w:strike/>
        </w:rPr>
        <w:t xml:space="preserve">that is</w:t>
      </w:r>
      <w:r>
        <w:t xml:space="preserve">] required by[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Chapter 501, Transportation Code, to be titled;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motor vehicle required by</w:t>
      </w:r>
      <w:r>
        <w:t xml:space="preserve"> Chapter 502, Transportation Code, to be registered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natural gas compressor package or unit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