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86R358 KKA-F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567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adjustment of a school district's wealth per student under the school finance system to reflect campus security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"Wealth per student" means the taxable value of property, as determined under Subchapter M, Chapter 403, Government Code, divided by the number of students in weighted average daily attendance </w:t>
      </w:r>
      <w:r>
        <w:rPr>
          <w:u w:val="single"/>
        </w:rPr>
        <w:t xml:space="preserve">and adjusted in accordance with Section 41.0011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41, Education Code, is amended by adding Section 41.0011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41.0011.</w:t>
      </w:r>
      <w:r>
        <w:rPr>
          <w:u w:val="single"/>
        </w:rPr>
        <w:t xml:space="preserve"> </w:t>
      </w:r>
      <w:r>
        <w:rPr>
          <w:u w:val="single"/>
        </w:rPr>
        <w:t xml:space="preserve"> </w:t>
      </w:r>
      <w:r>
        <w:rPr>
          <w:u w:val="single"/>
        </w:rPr>
        <w:t xml:space="preserve">ADJUSTMENT OF WEALTH PER STUDENT FOR CAMPUS SECURITY COSTS.  The commissioner shall adjust a school district's wealth per student by deducting the amount of revenue per student in weighted average daily attendance expended by the district to pay campus security costs during the preceding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