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meetings of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charter holder and the governing body of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each open meeting in the county in which the charter school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prescribed by Section 551.128, Government Code, broadcast the open meeting over the Internet, make a video and audio recording of each open meeting, and make available an archived copy of the video and audio recording of each meeting on the Internet.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open meeting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