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86R4445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and policies of the Texas Education Agency regarding public involvement, complaints, negotiated rulemaking, alternative dispute resolution, and advisory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 Education Code, is amended by adding Sections 7.032, 7.033, and 7.034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7.032.</w:t>
      </w:r>
      <w:r>
        <w:rPr>
          <w:u w:val="single"/>
        </w:rPr>
        <w:t xml:space="preserve"> </w:t>
      </w:r>
      <w:r>
        <w:rPr>
          <w:u w:val="single"/>
        </w:rPr>
        <w:t xml:space="preserve"> </w:t>
      </w:r>
      <w:r>
        <w:rPr>
          <w:u w:val="single"/>
        </w:rPr>
        <w:t xml:space="preserve">PUBLIC INVOLVEMENT POLICY.  The agency shall develop and implement a policy regarding public involvement with the agency.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how the agency will proactively engage stakeholders;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distinguish the purposes and appropriate uses of advisory committees and informal work groups, including by specifying that an informal work group: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subject to Chapter 2110,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have a well-defined purpose and follow specific timelines for completing tasks;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actions the agency will take that exceed the minimum open meetings requirements under Chapter 551,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strategy for providing updated information regarding advisory committees and issues of concern to stakeholders through the agency's Internet website;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an action plan for broadcasting and archiving video and audio of open meetings on the Internet;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describe how public input will affect agency decisions, including by providing information regarding the specific outcomes for all types of public input.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7.033.</w:t>
      </w:r>
      <w:r>
        <w:rPr>
          <w:u w:val="single"/>
        </w:rPr>
        <w:t xml:space="preserve"> </w:t>
      </w:r>
      <w:r>
        <w:rPr>
          <w:u w:val="single"/>
        </w:rPr>
        <w:t xml:space="preserve"> </w:t>
      </w:r>
      <w:r>
        <w:rPr>
          <w:u w:val="single"/>
        </w:rPr>
        <w:t xml:space="preserve">COMPLAINTS.  (a)  The agency shall maintain a system to promptly and efficiently act on complaints filed with the agency. </w:t>
      </w:r>
      <w:r>
        <w:rPr>
          <w:u w:val="single"/>
        </w:rPr>
        <w:t xml:space="preserve"> </w:t>
      </w:r>
      <w:r>
        <w:rPr>
          <w:u w:val="single"/>
        </w:rPr>
        <w:t xml:space="preserve">The agency shall maintain information about parties to the complaint, information about the subject matter of the complaint, and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7.034.</w:t>
      </w:r>
      <w:r>
        <w:rPr>
          <w:u w:val="single"/>
        </w:rPr>
        <w:t xml:space="preserve"> </w:t>
      </w:r>
      <w:r>
        <w:rPr>
          <w:u w:val="single"/>
        </w:rPr>
        <w:t xml:space="preserve"> </w:t>
      </w:r>
      <w:r>
        <w:rPr>
          <w:u w:val="single"/>
        </w:rPr>
        <w:t xml:space="preserve">NEGOTIATED RULEMAKING; ALTERNATIVE DISPUTE RESOLUTION.  (a)  The agency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agency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agency's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 Education Code, is amended by adding Section 7.067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7.067.</w:t>
      </w:r>
      <w:r>
        <w:rPr>
          <w:u w:val="single"/>
        </w:rPr>
        <w:t xml:space="preserve"> </w:t>
      </w:r>
      <w:r>
        <w:rPr>
          <w:u w:val="single"/>
        </w:rPr>
        <w:t xml:space="preserve"> </w:t>
      </w:r>
      <w:r>
        <w:rPr>
          <w:u w:val="single"/>
        </w:rPr>
        <w:t xml:space="preserve">ADVISORY COMMITTEE RULES.  (a) </w:t>
      </w:r>
      <w:r>
        <w:rPr>
          <w:u w:val="single"/>
        </w:rPr>
        <w:t xml:space="preserve"> </w:t>
      </w:r>
      <w:r>
        <w:rPr>
          <w:u w:val="single"/>
        </w:rPr>
        <w:t xml:space="preserve">The commissioner shall adopt rules, in compliance with Chapter 2110, Government Code, regarding an advisory committee that primarily functions to advise the commissioner or the agency, including rules governing an advisory committee's purpose, tasks, reporting requirements, and abolishment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under this section regarding an advisory committee's: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terms of service;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compliance with the requirements for open meetings under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