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86R4785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unemployment compensation for employees who leave the workplace due to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207.046(a), Labor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disqualified for benefits under this subchapter if:</w:t>
      </w:r>
    </w:p>
    <w:p w:rsidR="003F3435" w:rsidRDefault="0032493E">
      <w:pPr>
        <w:spacing w:line="480" w:lineRule="auto"/>
        <w:ind w:firstLine="1440"/>
        <w:jc w:val="both"/>
      </w:pPr>
      <w:r>
        <w:t xml:space="preserve">(1)</w:t>
      </w:r>
      <w:r xml:space="preserve">
        <w:t> </w:t>
      </w:r>
      <w:r xml:space="preserve">
        <w:t> </w:t>
      </w:r>
      <w:r>
        <w:t xml:space="preserve">the work-related reason for the individual's separation from employment was urgent, compelling, and necessary so as to make the separation involuntary;</w:t>
      </w:r>
    </w:p>
    <w:p w:rsidR="003F3435" w:rsidRDefault="0032493E">
      <w:pPr>
        <w:spacing w:line="480" w:lineRule="auto"/>
        <w:ind w:firstLine="1440"/>
        <w:jc w:val="both"/>
      </w:pPr>
      <w:r>
        <w:t xml:space="preserve">(2)</w:t>
      </w:r>
      <w:r xml:space="preserve">
        <w:t> </w:t>
      </w:r>
      <w:r xml:space="preserve">
        <w:t> </w:t>
      </w:r>
      <w:r>
        <w:t xml:space="preserve">the individual leaves the workplace to protect the individual from family violence or stalking or the individual or a member of the individual's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individual or a member of the individual's immediate family or family violence against, or the stalking of, the individual or the potential for family violence against, or the stalking of, the individual;</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individual or a member of the individual's immediate family or family violence against, or the stalking of, the individual;</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individual or a member of the individual's immediate family or family violence against the individual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individual or member of the individual's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or</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individual or a member of the individual's immediate family or family violence against the individual;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individual leaves the workplace to care for the individual's terminally ill spouse as evidenced by a physician's statement or other medical documentation, but only if no reasonable, alternative care was available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individual leaves the workplace because of sexual harassment, but only if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reported the sexual harassment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individual's employer;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filed a sexual harassment complaint with the commission under Chapter 21 or with the federal Equal Employment Opportunity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