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86R5215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574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consequences of successfully completing a period of deferred adjudication community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42A.111, Code of Criminal Procedure, is amended by adding Subsection (c-1) and amending Subsection (d)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any other law, a dismissal and discharge under this article may be used only as described by Section 12.42(g)(1), Penal Code, or as otherwise described by this article. </w:t>
      </w:r>
      <w:r>
        <w:rPr>
          <w:u w:val="single"/>
        </w:rPr>
        <w:t xml:space="preserve"> </w:t>
      </w:r>
      <w:r>
        <w:rPr>
          <w:u w:val="single"/>
        </w:rPr>
        <w:t xml:space="preserve">A dismissal and discharge under this article may not be used as grounds for denying housing, employment, or a professional license to an individual who is otherwise entitled to or qualified for the housing, employment, or license.</w:t>
      </w:r>
    </w:p>
    <w:p w:rsidR="003F3435" w:rsidRDefault="0032493E">
      <w:pPr>
        <w:spacing w:line="480" w:lineRule="auto"/>
        <w:ind w:firstLine="720"/>
        <w:jc w:val="both"/>
      </w:pPr>
      <w:r>
        <w:t xml:space="preserve">(d)</w:t>
      </w:r>
      <w:r xml:space="preserve">
        <w:t> </w:t>
      </w:r>
      <w:r xml:space="preserve">
        <w:t> </w:t>
      </w:r>
      <w:r>
        <w:t xml:space="preserve">For any defendant who receives a dismissal and discharge under this article</w:t>
      </w:r>
      <w:r>
        <w:rPr>
          <w:u w:val="single"/>
        </w:rPr>
        <w:t xml:space="preserve">,</w:t>
      </w:r>
      <w:r>
        <w:t xml:space="preserve"> [</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on conviction of a subsequent offense, the fact that the defendant previously has received deferred adjudication community supervision is admissible before the court or jury for consideration on the issue of penalty[</w:t>
      </w:r>
      <w:r>
        <w:rPr>
          <w:strike/>
        </w:rPr>
        <w:t xml:space="preserv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if the defendant is an applicant for or the holder of a license under Chapter 42, Human Resources Code, the Department of Family and Protective Services may consider the fact that the defendant previously has received deferred adjudication community supervision in issuing, renewing, denying, or revoking a license under that chapter;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if the defendant is an applicant for or the holder of a license to provide mental health or medical services for the rehabilitation of sex offenders, the Council on Sex Offender Treatment may consider the fact that the defendant previously has received deferred adjudication community supervision in issuing, renewing, denying, or revoking a license issued by that council</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defendant placed on deferred adjudication community supervision for an offense committed on or after the effective date of this Act. </w:t>
      </w:r>
      <w:r>
        <w:t xml:space="preserve"> </w:t>
      </w:r>
      <w:r>
        <w:t xml:space="preserve">A defendant placed on deferred adjudication community supervision for 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