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86R4732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criminal offense of unlawfully prohibiting an employee from voting.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</w:t>
      </w:r>
      <w:r xml:space="preserve">
        <w:t> </w:t>
      </w:r>
      <w:r>
        <w:t xml:space="preserve">276.004(a)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commits an offense if, with respect to another person over whom the person has authority in the scope of employment, the person knowingly: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refuses to permit the other person to be absent from work on election day </w:t>
      </w:r>
      <w:r>
        <w:rPr>
          <w:u w:val="single"/>
        </w:rPr>
        <w:t xml:space="preserve">or while early voting is in progress</w:t>
      </w:r>
      <w:r>
        <w:t xml:space="preserve"> for the purpose of attending the polls to vote;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subjects or threatens to subject the other person to a penalty for attending the polls on election day </w:t>
      </w:r>
      <w:r>
        <w:rPr>
          <w:u w:val="single"/>
        </w:rPr>
        <w:t xml:space="preserve">or while early voting is in progress</w:t>
      </w:r>
      <w:r>
        <w:t xml:space="preserve"> to vote.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It is an exception to the application of this section that the person's conduct occurs in connection with an election in which the polls are open on election day </w:t>
      </w:r>
      <w:r>
        <w:rPr>
          <w:u w:val="single"/>
        </w:rPr>
        <w:t xml:space="preserve">or while early voting is in progress</w:t>
      </w:r>
      <w:r>
        <w:t xml:space="preserve"> for voting for two consecutive hours outside of the voter's working hours.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