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Moody</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598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funds appropriated for the continuing legal education of certain appointed masters, magistrates, referees, and associate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 more than one-third of the funds appropriated for any fiscal year shall be used for the continuing legal education of judges of appellate courts, district courts, county courts at law, county courts performing judicial functions, full-time associate judges and masters appointed pursuant to Chapter 201, Family Code, and full-time </w:t>
      </w:r>
      <w:r>
        <w:rPr>
          <w:u w:val="single"/>
        </w:rPr>
        <w:t xml:space="preserve">and part-time</w:t>
      </w:r>
      <w:r>
        <w:t xml:space="preserve"> masters, magistrates, referees, and associate judges appointed pursuant to Chapter 54 </w:t>
      </w:r>
      <w:r>
        <w:rPr>
          <w:u w:val="single"/>
        </w:rPr>
        <w:t xml:space="preserve">or 54A</w:t>
      </w:r>
      <w:r>
        <w:t xml:space="preserve"> as required by the court of criminal appeals under Section 74.025 and of their court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