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86R3063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599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delivery of certain mental health records of a defendant to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8(c), Article 42.09,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A county that transfers a defendant to the Texas Department of Criminal Justice under this article shall also deliver to the designated officer any presentence or postsentence investigation report, revocation report, psychological or psychiatric evaluation of the defendant, including </w:t>
      </w:r>
      <w:r>
        <w:rPr>
          <w:u w:val="single"/>
        </w:rPr>
        <w:t xml:space="preserve">a written assessment provided to a court under Article 16.22(a)(1)(B) or</w:t>
      </w:r>
      <w:r>
        <w:t xml:space="preserve"> an evaluation prepared for the juvenile court before transferring the defendant to criminal court and contained in the criminal prosecutor's file, and available social or psychological background information relating to the defendant and may deliver to the designated officer any additional information upon which the judge or jury bases the punishment decision.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