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Collier, Murr, Moody, White,</w:t>
      </w:r>
      <w:r xml:space="preserve">
        <w:tab wTab="150" tlc="none" cTlc="0"/>
      </w:r>
      <w:r>
        <w:t xml:space="preserve">H.B.</w:t>
      </w:r>
      <w:r xml:space="preserve">
        <w:t> </w:t>
      </w:r>
      <w:r>
        <w:t xml:space="preserve">No.</w:t>
      </w:r>
      <w:r xml:space="preserve">
        <w:t> </w:t>
      </w:r>
      <w:r>
        <w:t xml:space="preserve">601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and reporting requirements regarding criminal defendants who are or may be persons with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the </w:t>
      </w:r>
      <w:r>
        <w:rPr>
          <w:u w:val="single"/>
        </w:rPr>
        <w:t xml:space="preserve">interview and other</w:t>
      </w:r>
      <w:r>
        <w:t xml:space="preserve"> </w:t>
      </w:r>
      <w:r>
        <w:t xml:space="preserve">information collected under Paragraph (A)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w:t>
      </w:r>
      <w:r>
        <w:rPr>
          <w:u w:val="single"/>
        </w:rPr>
        <w:t xml:space="preserve">,</w:t>
      </w:r>
      <w:r>
        <w:t xml:space="preserve"> or in another place determined to be appropriate by the local mental health authority or local intellectual and developmental disability authority</w:t>
      </w:r>
      <w:r>
        <w:rPr>
          <w:u w:val="single"/>
        </w:rPr>
        <w:t xml:space="preserve">,</w:t>
      </w:r>
      <w:r>
        <w:t xml:space="preserve">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adding Subsections (a-1) and (f) and amending Subsections (b), (b-1), (c),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magistrate orders a local mental health authority or local intellectual and developmental disability authority to conduct an interview and collect information under Subsection (a)(1), the commissioners court for the county in which the magistrate is located shall reimburse the local mental health authority or local intellectual and developmental disability authority for the cost of performing those duties.</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the </w:t>
      </w:r>
      <w:r>
        <w:rPr>
          <w:u w:val="single"/>
        </w:rPr>
        <w:t xml:space="preserve">interview and other</w:t>
      </w:r>
      <w:r>
        <w:t xml:space="preserve"> information collected under Subsection (a)(1)(A)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or through another mental health or intellectual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disability services as recommended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8(c), Article 42.09,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w:t>
      </w:r>
      <w:r>
        <w:rPr>
          <w:u w:val="single"/>
        </w:rPr>
        <w:t xml:space="preserve">a written report provided to a court under Article 16.22(a)(1)(B) or</w:t>
      </w:r>
      <w:r>
        <w:t xml:space="preserve">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