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86R4387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substandard residential building fines issued by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214, Local Government Code, is amended by adding Section 214.907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214.907.</w:t>
      </w:r>
      <w:r>
        <w:rPr>
          <w:u w:val="single"/>
        </w:rPr>
        <w:t xml:space="preserve"> </w:t>
      </w:r>
      <w:r>
        <w:rPr>
          <w:u w:val="single"/>
        </w:rPr>
        <w:t xml:space="preserve"> </w:t>
      </w:r>
      <w:r>
        <w:rPr>
          <w:u w:val="single"/>
        </w:rPr>
        <w:t xml:space="preserve">SUBSTANDARD RESIDENTIAL BUILDING FINE ISSUED BY CERTAIN MUNICIPALITIES.  (a)  This section applies only to a municipality located in a county with a population of 3.3 million or more.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"Residential building"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single-family residential building leased or rented by the owner of the building to another person;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multifamily residential building containing more than one dwelling unit leased or rented by the owner of the building to another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"Substandard residential building" means a residential building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 dilapidated or unfit for human habitation;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hazard to the public health, safety, or welfare.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"Substandard residential building fine" means a fine or penalty imposed by a municipality on the owner of a substandard residential building under a municipal ordinance applicable to the condition of the building.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owner of a substandard residential building is personally liable for the payment of a substandard residential building fine imposed for the owner's building.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may file a lien on the property on which a substandard residential building is located, and for which the owner has received a substandard residential building fine, for the amount of the fine.  The lien arises and attaches to the property at the time the notice of the lien is recorded and indexed in the office of the county clerk in the county in which the property is located.  The notice must contain the name and address of the owner if that information can be determined with reasonable effort, a legal description of the property, and the amount of the unpaid balance of the fine imposed by the municipality. The lien is extinguished if the property owner or another person having an interest in the legal title to the property pays the fine. The lien is inferior to any previously recorded bona fide mortgage lien attached to the property to which the municipality's lien attaches if the mortgage lien was filed for record in the office of the county clerk of the county in which the property is located before the date the fine was imposed by the municipality. The municipality's lien is superior to all other previously recorded judgment liens.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substandard residential building fine, as defined by Section 214.907, Local Government Code, as added by this Act, that is issued by a municipality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