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86R4219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and report by the Texas Higher Education Coordinating Board on the response by certain public and private institutions of higher education to reports of sexual assault at those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AND REPORT ON SEXUAL ASSAULT AT POSTSECONDARY EDUCATIONAL INSTITUTIONS.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"postsecondary educational institution"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or independent college or university approved for purposes of the tuition equalization grant program under Subchapter 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conduct a study regarding the response by postsecondary educational institutions to reports of sexual assault committed against students enrolled at those institutions. </w:t>
      </w:r>
      <w:r>
        <w:rPr>
          <w:u w:val="single"/>
        </w:rPr>
        <w:t xml:space="preserve"> </w:t>
      </w:r>
      <w:r>
        <w:rPr>
          <w:u w:val="single"/>
        </w:rPr>
        <w:t xml:space="preserve">The study must identify policies adopted by those institutions that have the effect of deterring students from reporting incidents of sexual assault or of hindering investigations of those reports.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legislature a report on the board's findings.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 information regarding the policies identified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