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86R3695 MCK-F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621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adverse employment action against an employee who in good faith reports child abuse or neglect.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261.110(a), (b),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employment action" means an action that affects an employee's compensation, promotion, transfer, work assignment, or performance evaluation, or any other employment action that would dissuade a reasonable employee from making or supporting a report of abuse or neglect under Section 261.101.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"Professional"</w:t>
      </w:r>
      <w:r>
        <w:t xml:space="preserve">[</w:t>
      </w:r>
      <w:r>
        <w:rPr>
          <w:strike/>
        </w:rPr>
        <w:t xml:space="preserve">, "professional"</w:t>
      </w:r>
      <w:r>
        <w:t xml:space="preserve">] has the meaning assigned by Section 261.101(b).</w:t>
      </w:r>
    </w:p>
    <w:p w:rsidR="003F3435" w:rsidRDefault="0032493E">
      <w:pPr>
        <w:spacing w:line="480" w:lineRule="auto"/>
        <w:ind w:firstLine="720"/>
        <w:jc w:val="both"/>
      </w:pPr>
      <w:r>
        <w:t xml:space="preserve">(b)</w:t>
      </w:r>
      <w:r xml:space="preserve">
        <w:t> </w:t>
      </w:r>
      <w:r xml:space="preserve">
        <w:t> </w:t>
      </w:r>
      <w:r>
        <w:t xml:space="preserve">An employer may not suspend or terminate the employment of, [</w:t>
      </w:r>
      <w:r>
        <w:rPr>
          <w:strike/>
        </w:rPr>
        <w:t xml:space="preserve">or otherwise</w:t>
      </w:r>
      <w:r>
        <w:t xml:space="preserve">] discriminate </w:t>
      </w:r>
      <w:r>
        <w:rPr>
          <w:u w:val="single"/>
        </w:rPr>
        <w:t xml:space="preserve">against, or take any other adverse employment action</w:t>
      </w:r>
      <w:r>
        <w:t xml:space="preserve"> </w:t>
      </w:r>
      <w:r>
        <w:t xml:space="preserve">against[</w:t>
      </w:r>
      <w:r>
        <w:rPr>
          <w:strike/>
        </w:rPr>
        <w:t xml:space="preserve">,</w:t>
      </w:r>
      <w:r>
        <w:t xml:space="preserve">] a person who is a professional and who in good faith:</w:t>
      </w:r>
    </w:p>
    <w:p w:rsidR="003F3435" w:rsidRDefault="0032493E">
      <w:pPr>
        <w:spacing w:line="480" w:lineRule="auto"/>
        <w:ind w:firstLine="1440"/>
        <w:jc w:val="both"/>
      </w:pPr>
      <w:r>
        <w:t xml:space="preserve">(1)</w:t>
      </w:r>
      <w:r xml:space="preserve">
        <w:t> </w:t>
      </w:r>
      <w:r xml:space="preserve">
        <w:t> </w:t>
      </w:r>
      <w:r>
        <w:t xml:space="preserve">reports child abuse or neglect to:</w:t>
      </w:r>
    </w:p>
    <w:p w:rsidR="003F3435" w:rsidRDefault="0032493E">
      <w:pPr>
        <w:spacing w:line="480" w:lineRule="auto"/>
        <w:ind w:firstLine="2160"/>
        <w:jc w:val="both"/>
      </w:pPr>
      <w:r>
        <w:t xml:space="preserve">(A)</w:t>
      </w:r>
      <w:r xml:space="preserve">
        <w:t> </w:t>
      </w:r>
      <w:r xml:space="preserve">
        <w:t> </w:t>
      </w:r>
      <w:r>
        <w:t xml:space="preserve">the person's supervisor;</w:t>
      </w:r>
    </w:p>
    <w:p w:rsidR="003F3435" w:rsidRDefault="0032493E">
      <w:pPr>
        <w:spacing w:line="480" w:lineRule="auto"/>
        <w:ind w:firstLine="2160"/>
        <w:jc w:val="both"/>
      </w:pPr>
      <w:r>
        <w:t xml:space="preserve">(B)</w:t>
      </w:r>
      <w:r xml:space="preserve">
        <w:t> </w:t>
      </w:r>
      <w:r xml:space="preserve">
        <w:t> </w:t>
      </w:r>
      <w:r>
        <w:t xml:space="preserve">an administrator of the facility where the person is employed;</w:t>
      </w:r>
    </w:p>
    <w:p w:rsidR="003F3435" w:rsidRDefault="0032493E">
      <w:pPr>
        <w:spacing w:line="480" w:lineRule="auto"/>
        <w:ind w:firstLine="2160"/>
        <w:jc w:val="both"/>
      </w:pPr>
      <w:r>
        <w:t xml:space="preserve">(C)</w:t>
      </w:r>
      <w:r xml:space="preserve">
        <w:t> </w:t>
      </w:r>
      <w:r xml:space="preserve">
        <w:t> </w:t>
      </w:r>
      <w:r>
        <w:t xml:space="preserve">a state regulatory agency; or</w:t>
      </w:r>
    </w:p>
    <w:p w:rsidR="003F3435" w:rsidRDefault="0032493E">
      <w:pPr>
        <w:spacing w:line="480" w:lineRule="auto"/>
        <w:ind w:firstLine="2160"/>
        <w:jc w:val="both"/>
      </w:pPr>
      <w:r>
        <w:t xml:space="preserve">(D)</w:t>
      </w:r>
      <w:r xml:space="preserve">
        <w:t> </w:t>
      </w:r>
      <w:r xml:space="preserve">
        <w:t> </w:t>
      </w:r>
      <w:r>
        <w:t xml:space="preserve">a law enforcement agency; or</w:t>
      </w:r>
    </w:p>
    <w:p w:rsidR="003F3435" w:rsidRDefault="0032493E">
      <w:pPr>
        <w:spacing w:line="480" w:lineRule="auto"/>
        <w:ind w:firstLine="1440"/>
        <w:jc w:val="both"/>
      </w:pPr>
      <w:r>
        <w:t xml:space="preserve">(2)</w:t>
      </w:r>
      <w:r xml:space="preserve">
        <w:t> </w:t>
      </w:r>
      <w:r xml:space="preserve">
        <w:t> </w:t>
      </w:r>
      <w:r>
        <w:t xml:space="preserve">initiates or cooperates with an investigation or proceeding by a governmental entity relating to an allegation of child abuse or neglect.</w:t>
      </w:r>
    </w:p>
    <w:p w:rsidR="003F3435" w:rsidRDefault="0032493E">
      <w:pPr>
        <w:spacing w:line="480" w:lineRule="auto"/>
        <w:ind w:firstLine="720"/>
        <w:jc w:val="both"/>
      </w:pPr>
      <w:r>
        <w:t xml:space="preserve">(c)</w:t>
      </w:r>
      <w:r xml:space="preserve">
        <w:t> </w:t>
      </w:r>
      <w:r xml:space="preserve">
        <w:t> </w:t>
      </w:r>
      <w:r>
        <w:t xml:space="preserve">A person </w:t>
      </w:r>
      <w:r>
        <w:rPr>
          <w:u w:val="single"/>
        </w:rPr>
        <w:t xml:space="preserve">may sue for injunctive relief, damages, or both if, in violation of this section, the person:</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whose employment</w:t>
      </w:r>
      <w:r>
        <w:t xml:space="preserve">] is suspended or terminated </w:t>
      </w:r>
      <w:r>
        <w:rPr>
          <w:u w:val="single"/>
        </w:rPr>
        <w:t xml:space="preserve">from the person's employment;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 who</w:t>
      </w:r>
      <w:r>
        <w:t xml:space="preserve">] is [</w:t>
      </w:r>
      <w:r>
        <w:rPr>
          <w:strike/>
        </w:rPr>
        <w:t xml:space="preserve">otherwise</w:t>
      </w:r>
      <w:r>
        <w:t xml:space="preserve">] discriminated against</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suffers any other adverse employment action</w:t>
      </w:r>
      <w:r>
        <w:t xml:space="preserve"> [</w:t>
      </w:r>
      <w:r>
        <w:rPr>
          <w:strike/>
        </w:rPr>
        <w:t xml:space="preserve">in violation of this section may sue for injunctive relief, damages, or both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adverse employment action taken by an employer against an employee that occurs on or after the effective date of this Act.  An adverse employment action taken by an employer against an employee that occurs before that date is governed by the law in effect on the date the action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