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86R3721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a person's right to a hearing placed on a sign prohibiting unauthorized vehicles on a parking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2308.301(b),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2308.305, an unauthorized vehicle may be towed under Section 2308.252(a)(1) or booted under Section 2308.257 only if each sign prohibiting unauthorized vehicles: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made of weather-resistant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at least 18 inches wide and 24 inches tall;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contains the international symbol for towing vehicles;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contains a statement describing who may park in the parking facility and prohibiting all others;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bears the words, as applicable: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"Unauthorized Vehicles Will Be Towed or Booted at Owner's or Operator's Expense";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"Unauthorized Vehicles Will Be Towed at Owner's or Operator's Expense";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"Unauthorized Vehicles Will Be Booted at Owner's or Operator's Expense";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contains a statement of the days and hours of towing and booting enforcement;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contains a number, including the area code, of a telephone that is answered 24 hours a day to enable an owner or operator of a vehicle to locate a towed vehicle or to arrange for removal of a boot from a vehicle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statement describing a person's right to request a court hearing to determine whether probable cause existed to remove, or install a boot on, a vehicle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2308.302, Occupations Code, is amended by amending Subsection (d)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(e) </w:t>
      </w:r>
      <w:r>
        <w:rPr>
          <w:u w:val="single"/>
        </w:rPr>
        <w:t xml:space="preserve">and (f)</w:t>
      </w:r>
      <w:r>
        <w:t xml:space="preserve">, the next lower portion of the sign must contain the remaining information required by Section 2308.301(b) displayed in bright red letters at least one inch in height on a white background.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 that otherwise meets the requirements of this subchapter meets the requirements of Section 2308.301(b)(8) if a separate sign installed directly above or below the sign contains the statement describing a person's right to request a hearing required by Section 2308.301(b)(8).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