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86R4333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627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rate of the cigarette tax and the allocation of certain revenue from that tax to the foundation school fund; increasing the rate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154.021(b), Tax Code, is amended to read as follows:</w:t>
      </w:r>
    </w:p>
    <w:p w:rsidR="003F3435" w:rsidRDefault="0032493E">
      <w:pPr>
        <w:spacing w:line="480" w:lineRule="auto"/>
        <w:ind w:firstLine="720"/>
        <w:jc w:val="both"/>
      </w:pPr>
      <w:r>
        <w:t xml:space="preserve">(b)</w:t>
      </w:r>
      <w:r xml:space="preserve">
        <w:t> </w:t>
      </w:r>
      <w:r xml:space="preserve">
        <w:t> </w:t>
      </w:r>
      <w:r>
        <w:t xml:space="preserve">The tax rates are:</w:t>
      </w:r>
    </w:p>
    <w:p w:rsidR="003F3435" w:rsidRDefault="0032493E">
      <w:pPr>
        <w:spacing w:line="480" w:lineRule="auto"/>
        <w:ind w:firstLine="1440"/>
        <w:jc w:val="both"/>
      </w:pPr>
      <w:r>
        <w:t xml:space="preserve">(1)</w:t>
      </w:r>
      <w:r xml:space="preserve">
        <w:t> </w:t>
      </w:r>
      <w:r xml:space="preserve">
        <w:t> </w:t>
      </w:r>
      <w:r>
        <w:rPr>
          <w:u w:val="single"/>
        </w:rPr>
        <w:t xml:space="preserve">$82.50</w:t>
      </w:r>
      <w:r>
        <w:t xml:space="preserve"> [</w:t>
      </w:r>
      <w:r>
        <w:rPr>
          <w:strike/>
        </w:rPr>
        <w:t xml:space="preserve">$70.50</w:t>
      </w:r>
      <w:r>
        <w:t xml:space="preserve">] per thousand on cigarettes weighing three pounds or less per thousand; and</w:t>
      </w:r>
    </w:p>
    <w:p w:rsidR="003F3435" w:rsidRDefault="0032493E">
      <w:pPr>
        <w:spacing w:line="480" w:lineRule="auto"/>
        <w:ind w:firstLine="1440"/>
        <w:jc w:val="both"/>
      </w:pPr>
      <w:r>
        <w:t xml:space="preserve">(2)</w:t>
      </w:r>
      <w:r xml:space="preserve">
        <w:t> </w:t>
      </w:r>
      <w:r xml:space="preserve">
        <w:t> </w:t>
      </w:r>
      <w:r>
        <w:t xml:space="preserve">the rate provided by Subdivision (1) plus $2.10 per thousand on cigarettes weighing more than three pounds per thousand.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154.6035, Tax Code, is amended to read as follows:</w:t>
      </w:r>
    </w:p>
    <w:p w:rsidR="003F3435" w:rsidRDefault="0032493E">
      <w:pPr>
        <w:spacing w:line="480" w:lineRule="auto"/>
        <w:ind w:firstLine="720"/>
        <w:jc w:val="both"/>
      </w:pPr>
      <w:r>
        <w:t xml:space="preserve">Sec.</w:t>
      </w:r>
      <w:r xml:space="preserve">
        <w:t> </w:t>
      </w:r>
      <w:r>
        <w:t xml:space="preserve">154.6035.</w:t>
      </w:r>
      <w:r xml:space="preserve">
        <w:t> </w:t>
      </w:r>
      <w:r xml:space="preserve">
        <w:t> </w:t>
      </w:r>
      <w:r>
        <w:t xml:space="preserve">ALLOCATION OF CERTAIN REVENUE TO PROPERTY TAX RELIEF FUND </w:t>
      </w:r>
      <w:r>
        <w:rPr>
          <w:u w:val="single"/>
        </w:rPr>
        <w:t xml:space="preserve">AND FOUNDATION SCHOOL FUND</w:t>
      </w:r>
      <w:r>
        <w:t xml:space="preserve">.  </w:t>
      </w:r>
      <w:r>
        <w:rPr>
          <w:u w:val="single"/>
        </w:rPr>
        <w:t xml:space="preserve">(a)</w:t>
      </w:r>
      <w:r>
        <w:t xml:space="preserve">  Notwithstanding Section 154.603, all proceeds from the collection of taxes imposed by this chapter attributable to the portion of the tax rate in excess of $20.50 per thousand on cigarettes, regardless of weight, </w:t>
      </w:r>
      <w:r>
        <w:rPr>
          <w:u w:val="single"/>
        </w:rPr>
        <w:t xml:space="preserve">but not exceeding $70.50 per thousand on cigarettes weighing three pounds or less per thousand or $72.60 per thousand on cigarettes weighing more than three pounds per thousand,</w:t>
      </w:r>
      <w:r>
        <w:t xml:space="preserve"> shall be deposited to the credit of the property tax relief fund under Section 403.109,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154.603, all proceeds from the collection of taxes imposed by this chapter attributable to the portion of the tax rate in excess of $70.50 per thousand on cigarettes weighing three pounds or less per thousand, or attributable to the portion of the tax rate in excess of $72.60 per thousand on cigarettes weighing more than three pounds per thousand, shall be deposited to the credit of the foundation school fund.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