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money associated with delays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222, Transportation Code, is amended by adding Section 222.007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w:t>
      </w:r>
      <w:r>
        <w:rPr>
          <w:u w:val="single"/>
        </w:rPr>
        <w:t xml:space="preserve"> </w:t>
      </w:r>
      <w:r>
        <w:rPr>
          <w:u w:val="single"/>
        </w:rPr>
        <w:t xml:space="preserve"> </w:t>
      </w:r>
      <w:r>
        <w:rPr>
          <w:u w:val="single"/>
        </w:rPr>
        <w:t xml:space="preserve">ALLOCATION OF MONEY FROM TRANSPORTATION PROJECT DELAYS.  (a)  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the department to correlate the liquidated damages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that was the subject of the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department district in which the project that was the subject of the damages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