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the law governing the provision of state aid to certain local governments disproportionately affected by the granting of ad valorem tax relief to disabled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140.011(a)(2), Local Government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"Local government"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municipality </w:t>
      </w:r>
      <w:r>
        <w:rPr>
          <w:u w:val="single"/>
        </w:rPr>
        <w:t xml:space="preserve">located wholly or partly in a county described by Paragraph (B)</w:t>
      </w:r>
      <w:r>
        <w:t xml:space="preserve"> </w:t>
      </w:r>
      <w:r>
        <w:t xml:space="preserve">[</w:t>
      </w:r>
      <w:r>
        <w:rPr>
          <w:strike/>
        </w:rPr>
        <w:t xml:space="preserve">adjacent to a United States military installation</w:t>
      </w:r>
      <w:r>
        <w:t xml:space="preserve">];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in which a United States military installation is wholly or partly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the eligibility of a qualified local government to apply for a disabled veteran assistance payment beginning with the fiscal year of the local government that ends in the 2019 tax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