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86R5673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disclosure of interested parties by business entities contracting with open-enrollment charter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2252.908(a)(2),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"Governmental entity" means a municipality, county, public school district, </w:t>
      </w:r>
      <w:r>
        <w:rPr>
          <w:u w:val="single"/>
        </w:rPr>
        <w:t xml:space="preserve">open-enrollment charter school established under Subchapter D, Chapter 12, Education Code,</w:t>
      </w:r>
      <w:r>
        <w:t xml:space="preserve"> or special-purpose district or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2252.908, Government Code, as amended by this Act, applies only to a contract subject to that section that is entered into, amended,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