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86R4076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VanDeaver</w:t>
      </w:r>
      <w:r xml:space="preserve">
        <w:tab wTab="150" tlc="none" cTlc="0"/>
      </w:r>
      <w:r>
        <w:t xml:space="preserve">H.B.</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salaries of the superintendent of the Texas School for the Blind and Visually Impaired and the superintendent of the Texas School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30.023(d),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board shall annually establish the superintendent's salary. </w:t>
      </w:r>
      <w:r>
        <w:t xml:space="preserve"> </w:t>
      </w:r>
      <w:r>
        <w:t xml:space="preserve">[</w:t>
      </w:r>
      <w:r>
        <w:rPr>
          <w:strike/>
        </w:rPr>
        <w:t xml:space="preserve">The annual salary may not exceed 120 percent of the annual salary of the highest paid instructional administrator at the school.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board shall annually establish the superintendent's salary. </w:t>
      </w:r>
      <w:r>
        <w:t xml:space="preserve"> </w:t>
      </w:r>
      <w:r>
        <w:t xml:space="preserve">[</w:t>
      </w:r>
      <w:r>
        <w:rPr>
          <w:strike/>
        </w:rPr>
        <w:t xml:space="preserve">The annual salary may not exceed 120 percent of the annual salary of the highest paid instructional administrator at the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an employment contract that is entered into or renewed on or after the effective date of this Act.  An employment contract that is entered into or renewed before the effective date of this Act is governed by the law as it existed at the time the contract was entered into or renewed, and the former law remains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