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86R23099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639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639:</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used as an ecological laboratory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and that has been used principally in that manner by a college or university for five of the preceding seven years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 in law made by this Act applies beginning with the tax year that begins January 1, 2021.</w:t>
      </w:r>
    </w:p>
    <w:p w:rsidR="003F3435" w:rsidRDefault="0032493E">
      <w:pPr>
        <w:spacing w:line="480" w:lineRule="auto"/>
        <w:ind w:firstLine="720"/>
        <w:jc w:val="both"/>
      </w:pPr>
      <w:r>
        <w:t xml:space="preserve">(b)</w:t>
      </w:r>
      <w:r xml:space="preserve">
        <w:t> </w:t>
      </w:r>
      <w:r xml:space="preserve">
        <w:t> </w:t>
      </w:r>
      <w:r>
        <w:t xml:space="preserve">This subsection applies only to land that first qualified for appraisal under Subchapter D, Chapter 23, Tax Code, on the basis of its use as an ecological laboratory in the 2014, 2015, 2016, 2017, 2018, 2019, or 2020 tax year.  The change in law made by this Act applies to land to which this subsection applies beginning with the tax year that begins January 1, 2027.  For the 2021, 2022, 2023, 2024, 2025, and 2026 tax years, the qualification of land to which this subsection applies for appraisal under Subchapter D, Chapter 23, Tax Code, on the basis of its use as an ecological laboratory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