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86R1617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Raney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optional county fee on vehicle registration in certain counties to be used for transportation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502.402(a),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borders the United Mexican States;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250,000;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more than </w:t>
      </w:r>
      <w:r>
        <w:rPr>
          <w:u w:val="single"/>
        </w:rPr>
        <w:t xml:space="preserve">190,000</w:t>
      </w:r>
      <w:r>
        <w:t xml:space="preserve"> [</w:t>
      </w:r>
      <w:r>
        <w:rPr>
          <w:strike/>
        </w:rPr>
        <w:t xml:space="preserve">1.5 million</w:t>
      </w:r>
      <w:r>
        <w:t xml:space="preserve">] that is coterminous with a regional mobility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