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86R4806 AJZ-D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653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voluntary contributions to the evidence testing grant program made when applying for a corrected or duplicate driver's license, commercial driver's license, or personal identification certificate.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521.012(a) and (b),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When a person applies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driver's license or personal identification certificate under this chapter, the person may contribute $1 or more to the evidence testing grant program established under Section 772.00715,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include space on the first page of each application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driver's license or personal identification certificate that allows a person applying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driver's license or personal identification certificate to indicate the amount that the person is voluntarily contributing to the grant program;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an opportunity for the person to contribute to the grant program during the application process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driver's license or personal identification certificate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522.0295(a) and (b), Transportation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When a person applies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commercial driver's license under this chapter, the person may contribute $1 or more to the evidence testing grant program established under Section 772.00715,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include space on the first page of each application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commercial driver's license that allows a person applying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commercial driver's license to indicate the amount that the person is voluntarily contributing to the grant program;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an opportunity for the person to contribute to the grant program during the application process for an original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or</w:t>
      </w:r>
      <w:r>
        <w:t xml:space="preserve">] renewal</w:t>
      </w:r>
      <w:r>
        <w:rPr>
          <w:u w:val="single"/>
        </w:rPr>
        <w:t xml:space="preserve">, corrected, or duplicate</w:t>
      </w:r>
      <w:r>
        <w:t xml:space="preserve"> commercial driver's license on the department's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only to a person who applies for a corrected or duplicate driver's license, commercial driver's license, or personal identification certificate on or after January 1, 2020.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653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