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"affected person" for purposes of a contested case hearing held by or for the Texas Commission on Environmental Quality regarding certain environmental permit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5.115(a), Water Code,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an administrative hearing held by or for the commission involving a contested case, "affected person," or "person affected," or "person who may be affected" means a person who has a personal justiciable interest related to a legal right, duty, privilege, power, or economic interest affected by the administrative hearing. </w:t>
      </w:r>
      <w:r>
        <w:t xml:space="preserve"> </w:t>
      </w:r>
      <w:r>
        <w:t xml:space="preserve">An interest common to members of the general public does not qualify as a personal justiciable interest.  </w:t>
      </w:r>
      <w:r>
        <w:rPr>
          <w:u w:val="single"/>
        </w:rPr>
        <w:t xml:space="preserve">For the purpose of an administrative hearing held by or for the commission involving a contested case regarding a permit application referred under Section 5.556 or 5.557, the state senator and representative who represent the area in which the facility to which the application relates is located or proposed to be located are considered affected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