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property and casualty insurance rates in certain areas after a disaster declaration.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2251, Insurance Code, is amended by adding Section 2251.053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2251.053.</w:t>
      </w:r>
      <w:r>
        <w:rPr>
          <w:u w:val="single"/>
        </w:rPr>
        <w:t xml:space="preserve"> </w:t>
      </w:r>
      <w:r>
        <w:rPr>
          <w:u w:val="single"/>
        </w:rPr>
        <w:t xml:space="preserve"> </w:t>
      </w:r>
      <w:r>
        <w:rPr>
          <w:u w:val="single"/>
        </w:rPr>
        <w:t xml:space="preserve">LIMITATION ON USE OF DISASTER LOSS AND EXPENSE EXPERIENCE.  If the governor designates a disaster area under Section 418.014, Government Code, an insurer may not consider loss and expense experience caused by the disaster in the designated area to set rates for risks outside of the designated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rate for an insurance policy that is delivered, issued for delivery, or renewed on or after January 1, 2020.  A rate for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