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of certain local exchange companies for support from the universal service fund for the provision of broadband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  The commission shall adopt and enforce rules requiring local exchange companies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finance the rural broadband service program established under Subchapter I</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 Utilities Code, is amended by adding Subchapter I to read as follows:</w:t>
      </w:r>
    </w:p>
    <w:p w:rsidR="003F3435" w:rsidRDefault="0032493E">
      <w:pPr>
        <w:spacing w:line="480" w:lineRule="auto"/>
        <w:jc w:val="center"/>
      </w:pPr>
      <w:r>
        <w:rPr>
          <w:u w:val="single"/>
        </w:rPr>
        <w:t xml:space="preserve">SUBCHAPTER I.  RURAL BROADBAND SERVICE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56.351.</w:t>
      </w:r>
      <w:r>
        <w:rPr>
          <w:u w:val="single"/>
        </w:rPr>
        <w:t xml:space="preserve"> </w:t>
      </w:r>
      <w:r>
        <w:rPr>
          <w:u w:val="single"/>
        </w:rPr>
        <w:t xml:space="preserve"> </w:t>
      </w:r>
      <w:r>
        <w:rPr>
          <w:u w:val="single"/>
        </w:rPr>
        <w:t xml:space="preserve">DEFINITION.  For the purposes of this subchapter, "broadband service" means a mass-market retail service by wire or radio that provides the capability to transmit data to and receive data from all or substantially all Internet endpoints.  The term includes any capabilities that are incidental to and enable the operation of the communications service but does not include dial-up Internet access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56.352.</w:t>
      </w:r>
      <w:r>
        <w:rPr>
          <w:u w:val="single"/>
        </w:rPr>
        <w:t xml:space="preserve"> </w:t>
      </w:r>
      <w:r>
        <w:rPr>
          <w:u w:val="single"/>
        </w:rPr>
        <w:t xml:space="preserve"> </w:t>
      </w:r>
      <w:r>
        <w:rPr>
          <w:u w:val="single"/>
        </w:rPr>
        <w:t xml:space="preserve">SUPPORT FOR BROADBAND SERVICES IN RURAL AREAS.  (a)  The commission shall provide from the universal service fund financial assistance for an incumbent local exchange company to build and maintain facility-based networks capable of providing access to broadband service in rural areas of this state where support is necessary to allow the provision of services at rates comparable to the benchmark rates established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 received under this subchapter may not be used for a purpose other than a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criteria for areas of this state to qualify as rural areas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56.353.</w:t>
      </w:r>
      <w:r>
        <w:rPr>
          <w:u w:val="single"/>
        </w:rPr>
        <w:t xml:space="preserve"> </w:t>
      </w:r>
      <w:r>
        <w:rPr>
          <w:u w:val="single"/>
        </w:rPr>
        <w:t xml:space="preserve"> </w:t>
      </w:r>
      <w:r>
        <w:rPr>
          <w:u w:val="single"/>
        </w:rPr>
        <w:t xml:space="preserve">NETWORK STANDARDS.  The commission by rule shall establish standards for networks built or maintained using support disbursed under this subchapter.  The standards must require a network to provide broadband service and be consistent with standards established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56.354.</w:t>
      </w:r>
      <w:r>
        <w:rPr>
          <w:u w:val="single"/>
        </w:rPr>
        <w:t xml:space="preserve"> </w:t>
      </w:r>
      <w:r>
        <w:rPr>
          <w:u w:val="single"/>
        </w:rPr>
        <w:t xml:space="preserve"> </w:t>
      </w:r>
      <w:r>
        <w:rPr>
          <w:u w:val="single"/>
        </w:rPr>
        <w:t xml:space="preserve">ACCOUNTING.  The commission shall adopt rules to ensure that support provided under this subchapter is calculated in a manner that is consistent with standard accounting principles.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