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Kacal,</w:t>
      </w:r>
      <w:r xml:space="preserve">
        <w:tab wTab="150" tlc="none" cTlc="0"/>
      </w:r>
      <w:r>
        <w:t xml:space="preserve">H.B.</w:t>
      </w:r>
      <w:r xml:space="preserve">
        <w:t> </w:t>
      </w:r>
      <w:r>
        <w:t xml:space="preserve">No.</w:t>
      </w:r>
      <w:r xml:space="preserve">
        <w:t> </w:t>
      </w:r>
      <w:r>
        <w:t xml:space="preserve">670</w:t>
      </w:r>
    </w:p>
    <w:p w:rsidR="003F3435" w:rsidRDefault="0032493E">
      <w:pPr>
        <w:jc w:val="both"/>
      </w:pPr>
      <w:r xml:space="preserve">
        <w:t> </w:t>
      </w:r>
      <w:r xml:space="preserve">
        <w:t> </w:t>
      </w:r>
      <w:r xml:space="preserve">
        <w:t> </w:t>
      </w:r>
      <w:r xml:space="preserve">
        <w:t> </w:t>
      </w:r>
      <w:r xml:space="preserve">
        <w:t> </w:t>
      </w:r>
      <w:r>
        <w:t xml:space="preserve">J. Johnson of Dallas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