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spouses of certain veterans with disabilities to a veteran's employment preference.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w:t>
      </w:r>
      <w:r xml:space="preserve">
        <w:t> </w:t>
      </w:r>
      <w:r xml:space="preserve">
        <w:t> </w:t>
      </w:r>
      <w:r>
        <w:t xml:space="preserve">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veteran with a disability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veteran has a total disability rating based either on having a service-connected disability with a disability rating of 100 percent or on individual unemployability;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veteran is receiving Supplemental Security Income (SSI) benefits under 42 U.S.C. Section 1381 et seq. or Social Security Disability Insurance (SSDI) benefits under 42 U.S.C. Section 401 et seq.;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spouse was married to the veteran at the time the veteran separated from the armed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veteran with a disability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or a spouse of a veteran with a disability as described by Section 657.002(4)</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w:t>
      </w:r>
      <w:r>
        <w:t xml:space="preserve"> </w:t>
      </w:r>
      <w:r>
        <w:t xml:space="preserve">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