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86R22317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679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Texas State Library and Archives Commission to sell educational resources and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441.006(b),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purchase, as state property, any suitable book, picture, or similar item, within the limits of the annual legislative appropriation;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receive a donation or gift of money, property, or services on any terms and conditions it considers proper as long as the state does not incur financial liability;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accept, receive, and administer federal funds made available by grant or loan to improve the public libraries of this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contract or agree with the governing body or head of a county, city, or town of this state to meet the terms prescribed by the United States and consistent with state law for the expenditure of federal funds for improving public libraries;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participate in the establishment and operation of an affiliated nonprofit organization whose purpose is to raise funds for or provide services or other benefits to the commission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 and sell educational resources and services for use by the public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679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