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and improvements to the quality of the Texas Workforce Commission's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302.0043, Labor Code, is amended by adding Subsection (c-1) and amending Subsections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measure and evaluate the progress of the commission's child care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and implementation of rates and payments, as determined by local workforce development boards,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participating providers to provide high quality child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commission meets performance measures established by the legislature for the average number of children served by the commission's child care program per day.</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w:t>
      </w:r>
      <w:r>
        <w:rPr>
          <w:u w:val="single"/>
        </w:rPr>
        <w:t xml:space="preserve">, school districts, open-enrollment charter schools, and the public</w:t>
      </w:r>
      <w:r>
        <w:t xml:space="preserve">.</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  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information described by Sections 302.0042(b)(8)-(11)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302.00435, Labor Code, is amended to read as follows:</w:t>
      </w:r>
    </w:p>
    <w:p w:rsidR="003F3435" w:rsidRDefault="0032493E">
      <w:pPr>
        <w:spacing w:line="480" w:lineRule="auto"/>
        <w:ind w:firstLine="720"/>
        <w:jc w:val="both"/>
      </w:pPr>
      <w:r>
        <w:t xml:space="preserve">Sec.</w:t>
      </w:r>
      <w:r xml:space="preserve">
        <w:t> </w:t>
      </w:r>
      <w:r>
        <w:t xml:space="preserve">302.00435.</w:t>
      </w:r>
      <w:r xml:space="preserve">
        <w:t> </w:t>
      </w:r>
      <w:r xml:space="preserve">
        <w:t> </w:t>
      </w:r>
      <w:r>
        <w:t xml:space="preserve">SUBSIDIZED CHILD CARE PROGRAM; INPUT POLICY.  </w:t>
      </w:r>
      <w:r>
        <w:rPr>
          <w:u w:val="single"/>
        </w:rPr>
        <w:t xml:space="preserve">(a)</w:t>
      </w:r>
      <w:r>
        <w:t xml:space="preserve">  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coordination between the subsidized child care program and prekindergarten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quality of and access to the subsidized child care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