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Middleton, Klick, et al.</w:t>
      </w:r>
      <w:r xml:space="preserve">
        <w:tab wTab="150" tlc="none" cTlc="0"/>
      </w:r>
      <w:r>
        <w:t xml:space="preserve">H.B.</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seizure action plan for certain students enrolled in public schools and training for certain school personnel regarding seizure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Sam's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38.032.</w:t>
      </w:r>
      <w:r>
        <w:rPr>
          <w:u w:val="single"/>
        </w:rPr>
        <w:t xml:space="preserve"> </w:t>
      </w:r>
      <w:r>
        <w:rPr>
          <w:u w:val="single"/>
        </w:rPr>
        <w:t xml:space="preserve"> </w:t>
      </w:r>
      <w:r>
        <w:rPr>
          <w:u w:val="single"/>
        </w:rPr>
        <w:t xml:space="preserve">SEIZURE ACTION PLAN.  (a) Each school district and open-enrollment charter school shall require any school employee who may have responsibility for the supervision or care of a student with epilepsy or a seizure disorder to complete a seizure training program described by Subsection (b).  A school employee who has completed the seizure training program may administer to a student covered by a seizure action plan developed under Subsection (d) a seizure rescue medication or medication prescribed to treat seizure disorder symptoms, or may assist the student with self-administration of the medication, as provided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employee described under Subsection (a) must complete an agency-approved seizure training program that includes instruction regarding managing students with seizures and includes information about seizure recognition, related first aid, and the administration of seizure rescue medications and medications prescribed to treat seizure disorder symptoms.  The agency may approve, for purposes of this subsection, a seizure training course for school personnel provided by a nonprofit national foundation that supports the welfare of individuals with epilepsy and seizure disorders, such as the Epilepsy Foundation of America.  A seizure training program approved by the agency under this subsection that is provided to a school district or open-enrollment charter school on portable media must be provided by the nonprofit entity free of charge.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of or a person standing in parental relation to a student with epilepsy or a seizure disorder for whom a plan has been created under Section 504, Rehabilitation Act of 1973 (29 U.S.C. Section 794), may provide to the school district or open-enrollment charter school at which the student is enrolled written authorization for the development of a seizure action plan under Subsection (d).  The written authorization must be provided on a form adopted by the agency and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purpose of the medication to be administered or self-administered, which must be a seizure rescue medication or medication for the treatment of seizure disorder symptoms approved for that purpose by the United States Food and Drug Administration and prescribed by the student's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prescribed dosage, route of administration, and frequency with which the medication may be administered under the prescription;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under which the medication may be administered.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receives written authorization under Subsection (c) shall develop, in collaboration with the person providing the authorization, a seizure action plan that is consistent with the student's plan created under Section 504, Rehabilitation Act of 1973 (29 U.S.C. Section 794).  The seizure action plan may provide for a school employee who has completed the training program described by Subsection (b) to administer or assist the student with self-administration of a medication identified in the written authorization provided under Subsection (c).  A seizure action plan developed for a student under this subsection must be renewed at the beginning of each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district or open-enrollment charter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a seizure action plan developed for a student enrolled in the district or school on file in the office of a school nurse or school administrator;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a copy of the plan to each school employee described by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parent of or person standing in parental relation to a student for whom a seizure action plan is developed under Subsection (d) must provide a medication identified in the written authorization described by Subsection (c) to the school district or open-enrollment charter school at which the student is enrolled in an unopened, sealed package that is clearly labeled by the dispensing pharmacy.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immunity from liability provided by Section 22.0511 applies to an action or failure to act by a school employee in administering a medication, assisting with self-administration, or otherwise providing for the care of a student under the seizure action plan developed for the student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adopt rules as necessary to administer this section before the beginning of the school year immediately following the effective date of this Act</w:t>
      </w:r>
      <w:r>
        <w:rPr>
          <w:u w:val="single"/>
        </w:rP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