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public school nurses and certain other school personnel regarding seizure recognition and related first 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Sam's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38.032.</w:t>
      </w:r>
      <w:r>
        <w:rPr>
          <w:u w:val="single"/>
        </w:rPr>
        <w:t xml:space="preserve"> </w:t>
      </w:r>
      <w:r>
        <w:rPr>
          <w:u w:val="single"/>
        </w:rPr>
        <w:t xml:space="preserve"> </w:t>
      </w:r>
      <w:r>
        <w:rPr>
          <w:u w:val="single"/>
        </w:rPr>
        <w:t xml:space="preserve">SEIZURE RECOGNITION AND RELATED FIRST AID TRAINING.  (a) </w:t>
      </w:r>
      <w:r>
        <w:rPr>
          <w:u w:val="single"/>
        </w:rPr>
        <w:t xml:space="preserve"> </w:t>
      </w:r>
      <w:r>
        <w:rPr>
          <w:u w:val="single"/>
        </w:rPr>
        <w:t xml:space="preserve">A school nurse employed by a school district must complete an agency-approved online course of instruction for school nurses regarding managing students with seizures that includes information about seizure recognition and related first 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employee, other than a school nurse, whose duties at the school include regular contact with students must complete an agency-approved online course of instruction for school personnel regarding awareness of students with seizures that includes information about seizure recognition and related first 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approve an online course of instruction provided by a nonprofit national foundation that supports the welfare of individuals with epilepsy and seizure disorders to satisfy the training required under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Education Agency shall approve online courses of instruction to satisfy the training requirements of Section 38.032,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