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86R5686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 Wu</w:t>
      </w:r>
      <w:r xml:space="preserve">
        <w:tab wTab="150" tlc="none" cTlc="0"/>
      </w:r>
      <w:r>
        <w:t xml:space="preserve">H.B.</w:t>
      </w:r>
      <w:r xml:space="preserve">
        <w:t> </w:t>
      </w:r>
      <w:r>
        <w:t xml:space="preserve">No.</w:t>
      </w:r>
      <w:r xml:space="preserve">
        <w:t> </w:t>
      </w:r>
      <w:r>
        <w:t xml:space="preserve">692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of a student who is homeless from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who is homeless may not be placed in out-of-school suspension. </w:t>
      </w:r>
      <w:r>
        <w:rPr>
          <w:u w:val="single"/>
        </w:rPr>
        <w:t xml:space="preserve"> </w:t>
      </w:r>
      <w:r>
        <w:rPr>
          <w:u w:val="single"/>
        </w:rPr>
        <w:t xml:space="preserve">The campus behavior coordinator may coordinate with the school district's homeless education liaison to identify appropriate alternatives to out-of-school suspension for a student who is homeless.  In this subsection, "student who is homeless" has the meaning assigned to the term "homeless children and youths" under 42 U.S.C. Section 11434a.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