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86R1120 MEW-D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Blanco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699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bilingual education allotment provided under the public school finance system.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Sections 42.153(a) and (b), Education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For each student in average daily attendance in a bilingual education or special language program under Subchapter B, Chapter 29, a district is entitled to an annual allotment equal to the adjusted basic allotment multiplied by </w:t>
      </w:r>
      <w:r>
        <w:rPr>
          <w:u w:val="single"/>
        </w:rPr>
        <w:t xml:space="preserve">0.25</w:t>
      </w:r>
      <w:r>
        <w:t xml:space="preserve"> [</w:t>
      </w:r>
      <w:r>
        <w:rPr>
          <w:strike/>
        </w:rPr>
        <w:t xml:space="preserve">0.1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Funds allocated under this section, other than an indirect cost allotment established under State Board of Education rule, </w:t>
      </w:r>
      <w:r>
        <w:rPr>
          <w:u w:val="single"/>
        </w:rPr>
        <w:t xml:space="preserve">which may not exceed 45 percent,</w:t>
      </w:r>
      <w:r>
        <w:t xml:space="preserve"> must be used in providing bilingual education or special language programs under Subchapter B, Chapter 29, and must be accounted for under existing agency reporting and auditing procedures.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699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