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86R24817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702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702:</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voluntary program to recognize licensed before-school and after-school programs that promote healthy eating and physical activity.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DISTINGUISHED BEFORE-SCHOOL AND AFTER-SCHOOL HEALTH RECOGNITION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attendee" means a child enrolled in a full-day or half-day before-school or after-school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"Screen time" means time spent viewing television or videos or working on computers, tablets, and handheld entertainment devices, with or without Internet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voluntary program for recognizing licensed before-school and after-school programs that promote healthy eating and physical activity. </w:t>
      </w:r>
      <w:r>
        <w:rPr>
          <w:u w:val="single"/>
        </w:rPr>
        <w:t xml:space="preserve"> </w:t>
      </w:r>
      <w:r>
        <w:rPr>
          <w:u w:val="single"/>
        </w:rPr>
        <w:t xml:space="preserve">The recognition program must provide for the self-evaluation of a before-school or after-school program to determine the program's compliance with the requirements for recognition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before-school or after-school program seeking recognition under this section shall evaluate the program's compliance with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staff member of the before-school or after-school program is trained on the standards of this section and the importance of modeling healthy eating and physical activity in the presence of program attendees;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before-school or after-school program provides opportunities for program attendees to participate in at least 30 minutes of moderate to vigorous physical activity for a half-day program and at least 60 minutes of moderate to vigorous physical activity for a full-day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before-school or after-school program limits screen time during the operational hours of the program to less than 30 minutes a day for a half-day program and two hours a day for a full-day program, not including use in connection with homework or an activity that engages program attendees in a physical activity or educational experience;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before-school or after-school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makes healthy foods, including fruits and vegetables that are fresh, frozen, dried, or canned in their own juice or water, without added sugar, available to program attendees during meals or snacks;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encourages program attendees and staff while in the presence of program attendees during the operational hours of the program to not eat fried foods or foods that are primarily sugar-based, are high in calories or sodium, or include trans fat;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before-school or after-school program complies with the following guidelines relating to the serving and consumption of beverages: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attendees are served water, low-fat or nonfat milk, nonfat flavored milk, or 100 percent fruit juice;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safe, clean drinking water is available and accessible at all times to program attendees and staff;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beverages with added sugar are not served to program attendees or consumed by staff in the presence of program attendees during the operational hours of the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before-school or after-school program engages parents, guardians, and caregivers of program attendees using informational materials and activities focused on healthy eating and physical activity relevant to the health of program attendees at least four times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staff training described by Subsection (c)(1) must comply with the requirements of the National Institute on Out-of-School Time, the Healthy Out-of-School Time Coalition, or other similar programs. </w:t>
      </w:r>
      <w:r>
        <w:rPr>
          <w:u w:val="single"/>
        </w:rPr>
        <w:t xml:space="preserve"> </w:t>
      </w:r>
      <w:r>
        <w:rPr>
          <w:u w:val="single"/>
        </w:rPr>
        <w:t xml:space="preserve">The training may be completed in person or online.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the following levels of recognition for before-school and after-school programs applying for recognition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bronze status for a before-school or after-school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staff training requirements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at least one other requirement listed in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silver status for a before-school or after-school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staff training requirements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at least three other requirements listed in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gold status for a before-school or after-school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staff training requirements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at least four other requirements listed in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before-school or after-school program determines that the program meets the requirements for a recognition level provided by Subsection (e),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create a corresponding recognition certificate using a certificate template created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notify the commission of the level of recognition for which the program qualifies.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recognition certificate created by a before-school or after-school program does not expire, however the program shall remove the certificate if the program no longer meets the requirements for recognition.  A before-school or after-school program shall notify the commission of any change in the program's recognition level or if the program no longer qualifies for recognition.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post information about the recognition program on the commission's Internet website,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and links that a before-school or after-school program may use to meet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template that a before-school or after-school program may use to create a certificate, signed by the director of the before-school or after-school program, that describes the program's recognition level.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maintain a list of each before-school or after-school program that qualifies for recognition under this section and shall post the list on the commission's Internet website. </w:t>
      </w:r>
      <w:r>
        <w:rPr>
          <w:u w:val="single"/>
        </w:rPr>
        <w:t xml:space="preserve"> </w:t>
      </w:r>
      <w:r>
        <w:rPr>
          <w:u w:val="single"/>
        </w:rPr>
        <w:t xml:space="preserve">The list must include each program's recognition level.  The commission shall update the list at least quarterly to reflect any change in a program's recognition level.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requirements of this section are in addition to any other requirement imposed by law that applies to a before-school or after-school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