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children with hearing impairments for audiology services under the school health and related services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38.033.</w:t>
      </w:r>
      <w:r>
        <w:rPr>
          <w:u w:val="single"/>
        </w:rPr>
        <w:t xml:space="preserve"> </w:t>
      </w:r>
      <w:r>
        <w:rPr>
          <w:u w:val="single"/>
        </w:rPr>
        <w:t xml:space="preserve"> </w:t>
      </w:r>
      <w:r>
        <w:rPr>
          <w:u w:val="single"/>
        </w:rPr>
        <w:t xml:space="preserve">SCHOOL HEALTH AND RELATED SERVICES PROGRAM; ELIGIBILITY FOR AUDIOLOGY SERVICES.  (a) </w:t>
      </w:r>
      <w:r>
        <w:rPr>
          <w:u w:val="single"/>
        </w:rPr>
        <w:t xml:space="preserve"> </w:t>
      </w:r>
      <w:r>
        <w:rPr>
          <w:u w:val="single"/>
        </w:rPr>
        <w:t xml:space="preserve">A child is eligible to receive audiology services provided under the school health and related services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20 years of age or younger;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disability or chronic medical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for Medicaid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been prescribed the services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individualized education program created under the Individuals with Disabilities Education Act (20 U.S.C. Section 1400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created under Section 504, Rehabilitation Act of 1973 (29 U.S.C. Section 794).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shall provide reimbursement to a provider under the school health and related services program for audiology services provided to a child who is eligible for the services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in consultation with the agency,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